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47869873046875" w:right="0" w:firstLine="0"/>
        <w:jc w:val="left"/>
        <w:rPr>
          <w:rFonts w:ascii="Times" w:cs="Times" w:eastAsia="Times" w:hAnsi="Times"/>
          <w:b w:val="0"/>
          <w:i w:val="0"/>
          <w:smallCaps w:val="0"/>
          <w:strike w:val="0"/>
          <w:color w:val="000000"/>
          <w:sz w:val="23.479393005371094"/>
          <w:szCs w:val="23.479393005371094"/>
          <w:u w:val="none"/>
          <w:shd w:fill="auto" w:val="clear"/>
          <w:vertAlign w:val="baseline"/>
        </w:rPr>
      </w:pPr>
      <w:r w:rsidDel="00000000" w:rsidR="00000000" w:rsidRPr="00000000">
        <w:rPr>
          <w:rFonts w:ascii="Times" w:cs="Times" w:eastAsia="Times" w:hAnsi="Times"/>
          <w:b w:val="0"/>
          <w:i w:val="0"/>
          <w:smallCaps w:val="0"/>
          <w:strike w:val="0"/>
          <w:color w:val="000000"/>
          <w:sz w:val="23.479393005371094"/>
          <w:szCs w:val="23.479393005371094"/>
          <w:u w:val="none"/>
          <w:shd w:fill="auto" w:val="clear"/>
          <w:vertAlign w:val="baseline"/>
          <w:rtl w:val="0"/>
        </w:rPr>
        <w:t xml:space="preserve">The following text furnishes an overview of the supplementary materials.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848876953125" w:line="233.23983192443848" w:lineRule="auto"/>
        <w:ind w:left="1.643524169921875" w:right="0" w:firstLine="0.704345703125"/>
        <w:jc w:val="both"/>
        <w:rPr>
          <w:rFonts w:ascii="Times" w:cs="Times" w:eastAsia="Times" w:hAnsi="Times"/>
          <w:b w:val="0"/>
          <w:i w:val="0"/>
          <w:smallCaps w:val="0"/>
          <w:strike w:val="0"/>
          <w:color w:val="000000"/>
          <w:sz w:val="23.479393005371094"/>
          <w:szCs w:val="23.479393005371094"/>
          <w:u w:val="none"/>
          <w:shd w:fill="auto" w:val="clear"/>
          <w:vertAlign w:val="baseline"/>
        </w:rPr>
      </w:pPr>
      <w:r w:rsidDel="00000000" w:rsidR="00000000" w:rsidRPr="00000000">
        <w:rPr>
          <w:rFonts w:ascii="Times" w:cs="Times" w:eastAsia="Times" w:hAnsi="Times"/>
          <w:sz w:val="23.479393005371094"/>
          <w:szCs w:val="23.479393005371094"/>
          <w:rtl w:val="0"/>
        </w:rPr>
        <w:t xml:space="preserve">“</w:t>
      </w:r>
      <w:r w:rsidDel="00000000" w:rsidR="00000000" w:rsidRPr="00000000">
        <w:rPr>
          <w:rFonts w:ascii="Times" w:cs="Times" w:eastAsia="Times" w:hAnsi="Times"/>
          <w:b w:val="0"/>
          <w:i w:val="0"/>
          <w:smallCaps w:val="0"/>
          <w:strike w:val="0"/>
          <w:color w:val="000000"/>
          <w:sz w:val="23.479393005371094"/>
          <w:szCs w:val="23.479393005371094"/>
          <w:u w:val="none"/>
          <w:shd w:fill="auto" w:val="clear"/>
          <w:vertAlign w:val="baseline"/>
          <w:rtl w:val="0"/>
        </w:rPr>
        <w:t xml:space="preserve">Table S1</w:t>
      </w:r>
      <w:r w:rsidDel="00000000" w:rsidR="00000000" w:rsidRPr="00000000">
        <w:rPr>
          <w:rFonts w:ascii="Times" w:cs="Times" w:eastAsia="Times" w:hAnsi="Times"/>
          <w:sz w:val="23.479393005371094"/>
          <w:szCs w:val="23.479393005371094"/>
          <w:rtl w:val="0"/>
        </w:rPr>
        <w:t xml:space="preserve">”</w:t>
      </w:r>
      <w:r w:rsidDel="00000000" w:rsidR="00000000" w:rsidRPr="00000000">
        <w:rPr>
          <w:rFonts w:ascii="Times" w:cs="Times" w:eastAsia="Times" w:hAnsi="Times"/>
          <w:b w:val="0"/>
          <w:i w:val="0"/>
          <w:smallCaps w:val="0"/>
          <w:strike w:val="0"/>
          <w:color w:val="000000"/>
          <w:sz w:val="23.479393005371094"/>
          <w:szCs w:val="23.479393005371094"/>
          <w:u w:val="none"/>
          <w:shd w:fill="auto" w:val="clear"/>
          <w:vertAlign w:val="baseline"/>
          <w:rtl w:val="0"/>
        </w:rPr>
        <w:t xml:space="preserve">: This table comprises data pertaining to the sequences that were eliminated from the  Norwegian dataset. The timestamps included in the actigraphy data of each participant, which  were supplied by Jakobsen et al., indicate which data points our filtering method identified as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36865234375" w:line="233.2400894165039" w:lineRule="auto"/>
        <w:ind w:left="0" w:right="19.44091796875" w:firstLine="4.695892333984375"/>
        <w:jc w:val="left"/>
        <w:rPr>
          <w:rFonts w:ascii="Times" w:cs="Times" w:eastAsia="Times" w:hAnsi="Times"/>
          <w:b w:val="0"/>
          <w:i w:val="0"/>
          <w:smallCaps w:val="0"/>
          <w:strike w:val="0"/>
          <w:color w:val="000000"/>
          <w:sz w:val="23.479393005371094"/>
          <w:szCs w:val="23.479393005371094"/>
          <w:u w:val="none"/>
          <w:shd w:fill="auto" w:val="clear"/>
          <w:vertAlign w:val="baseline"/>
        </w:rPr>
      </w:pPr>
      <w:r w:rsidDel="00000000" w:rsidR="00000000" w:rsidRPr="00000000">
        <w:rPr>
          <w:rFonts w:ascii="Times" w:cs="Times" w:eastAsia="Times" w:hAnsi="Times"/>
          <w:b w:val="0"/>
          <w:i w:val="0"/>
          <w:smallCaps w:val="0"/>
          <w:strike w:val="0"/>
          <w:color w:val="000000"/>
          <w:sz w:val="23.479393005371094"/>
          <w:szCs w:val="23.479393005371094"/>
          <w:u w:val="none"/>
          <w:shd w:fill="auto" w:val="clear"/>
          <w:vertAlign w:val="baseline"/>
          <w:rtl w:val="0"/>
        </w:rPr>
        <w:t xml:space="preserve">damaged. The column labeled "name" contains the original patient ID, where  "psykose_patient_" denotes patients with chronic schizophrenia (CS) and "psykose_control_"  represents patients under control (C). The beginning and ending dates and times are stored in  the "timestamp_beginning" and "timestamp_end" columns, respectively, to identify the  damaged sequences.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46142578125" w:line="233.24034690856934" w:lineRule="auto"/>
        <w:ind w:left="0" w:right="78.27880859375" w:firstLine="2.347869873046875"/>
        <w:jc w:val="left"/>
        <w:rPr>
          <w:rFonts w:ascii="Times" w:cs="Times" w:eastAsia="Times" w:hAnsi="Times"/>
          <w:b w:val="0"/>
          <w:i w:val="0"/>
          <w:smallCaps w:val="0"/>
          <w:strike w:val="0"/>
          <w:color w:val="000000"/>
          <w:sz w:val="23.479393005371094"/>
          <w:szCs w:val="23.479393005371094"/>
          <w:u w:val="none"/>
          <w:shd w:fill="auto" w:val="clear"/>
          <w:vertAlign w:val="baseline"/>
        </w:rPr>
      </w:pPr>
      <w:r w:rsidDel="00000000" w:rsidR="00000000" w:rsidRPr="00000000">
        <w:rPr>
          <w:rFonts w:ascii="Times" w:cs="Times" w:eastAsia="Times" w:hAnsi="Times"/>
          <w:sz w:val="23.479393005371094"/>
          <w:szCs w:val="23.479393005371094"/>
          <w:rtl w:val="0"/>
        </w:rPr>
        <w:t xml:space="preserve">“</w:t>
      </w:r>
      <w:r w:rsidDel="00000000" w:rsidR="00000000" w:rsidRPr="00000000">
        <w:rPr>
          <w:rFonts w:ascii="Times" w:cs="Times" w:eastAsia="Times" w:hAnsi="Times"/>
          <w:b w:val="0"/>
          <w:i w:val="0"/>
          <w:smallCaps w:val="0"/>
          <w:strike w:val="0"/>
          <w:color w:val="000000"/>
          <w:sz w:val="23.479393005371094"/>
          <w:szCs w:val="23.479393005371094"/>
          <w:u w:val="none"/>
          <w:shd w:fill="auto" w:val="clear"/>
          <w:vertAlign w:val="baseline"/>
          <w:rtl w:val="0"/>
        </w:rPr>
        <w:t xml:space="preserve">Table S2</w:t>
      </w:r>
      <w:r w:rsidDel="00000000" w:rsidR="00000000" w:rsidRPr="00000000">
        <w:rPr>
          <w:rFonts w:ascii="Times" w:cs="Times" w:eastAsia="Times" w:hAnsi="Times"/>
          <w:sz w:val="23.479393005371094"/>
          <w:szCs w:val="23.479393005371094"/>
          <w:rtl w:val="0"/>
        </w:rPr>
        <w:t xml:space="preserve">”</w:t>
      </w:r>
      <w:r w:rsidDel="00000000" w:rsidR="00000000" w:rsidRPr="00000000">
        <w:rPr>
          <w:rFonts w:ascii="Times" w:cs="Times" w:eastAsia="Times" w:hAnsi="Times"/>
          <w:b w:val="0"/>
          <w:i w:val="0"/>
          <w:smallCaps w:val="0"/>
          <w:strike w:val="0"/>
          <w:color w:val="000000"/>
          <w:sz w:val="23.479393005371094"/>
          <w:szCs w:val="23.479393005371094"/>
          <w:u w:val="none"/>
          <w:shd w:fill="auto" w:val="clear"/>
          <w:vertAlign w:val="baseline"/>
          <w:rtl w:val="0"/>
        </w:rPr>
        <w:t xml:space="preserve">: This table presents the actigraphy data extracted from the Szeged dataset  subsequent to the data cleansing process. The actigraphy data was systematically categorized  into distinct days, with each day being numbered within the first twenty-four hours. The  usable day numbers are presented in this table, and the participant IDs are listed in the  "Index" column (where "Ei_" represents the participants, "_1" signifies the control group,  "_3" denotes the PSF schizotypy group, and "_2" signifies the bipolar group, which is not  pertinent to this paper).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46142578125" w:line="233.23994636535645" w:lineRule="auto"/>
        <w:ind w:left="1.643524169921875" w:right="129.5556640625" w:hanging="1.17401123046875"/>
        <w:jc w:val="left"/>
        <w:rPr>
          <w:rFonts w:ascii="Times" w:cs="Times" w:eastAsia="Times" w:hAnsi="Times"/>
          <w:b w:val="0"/>
          <w:i w:val="0"/>
          <w:smallCaps w:val="0"/>
          <w:strike w:val="0"/>
          <w:color w:val="000000"/>
          <w:sz w:val="23.479393005371094"/>
          <w:szCs w:val="23.479393005371094"/>
          <w:u w:val="none"/>
          <w:shd w:fill="auto" w:val="clear"/>
          <w:vertAlign w:val="baseline"/>
        </w:rPr>
      </w:pPr>
      <w:r w:rsidDel="00000000" w:rsidR="00000000" w:rsidRPr="00000000">
        <w:rPr>
          <w:rFonts w:ascii="Times" w:cs="Times" w:eastAsia="Times" w:hAnsi="Times"/>
          <w:sz w:val="23.479393005371094"/>
          <w:szCs w:val="23.479393005371094"/>
          <w:rtl w:val="0"/>
        </w:rPr>
        <w:t xml:space="preserve">“Codes” folder: Detailed description in</w:t>
      </w:r>
      <w:r w:rsidDel="00000000" w:rsidR="00000000" w:rsidRPr="00000000">
        <w:rPr>
          <w:rFonts w:ascii="Times" w:cs="Times" w:eastAsia="Times" w:hAnsi="Times"/>
          <w:i w:val="1"/>
          <w:sz w:val="23.479393005371094"/>
          <w:szCs w:val="23.479393005371094"/>
          <w:rtl w:val="0"/>
        </w:rPr>
        <w:t xml:space="preserve"> Supplementary 3</w:t>
      </w:r>
      <w:r w:rsidDel="00000000" w:rsidR="00000000" w:rsidRPr="00000000">
        <w:rPr>
          <w:rFonts w:ascii="Times" w:cs="Times" w:eastAsia="Times" w:hAnsi="Times"/>
          <w:sz w:val="23.479393005371094"/>
          <w:szCs w:val="23.479393005371094"/>
          <w:rtl w:val="0"/>
        </w:rPr>
        <w:t xml:space="preserve">.</w:t>
      </w:r>
      <w:r w:rsidDel="00000000" w:rsidR="00000000" w:rsidRPr="00000000">
        <w:rPr>
          <w:rtl w:val="0"/>
        </w:rPr>
      </w:r>
    </w:p>
    <w:sectPr>
      <w:pgSz w:h="16840" w:w="11900" w:orient="portrait"/>
      <w:pgMar w:bottom="3679.869384765625" w:top="1694.3603515625" w:left="1538.7699890136719" w:right="1489.211425781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